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8541" w14:textId="7C0BF392" w:rsidR="008A70EC" w:rsidRPr="00381961" w:rsidRDefault="00F86963" w:rsidP="00450E9A">
      <w:pPr>
        <w:pStyle w:val="Heading1"/>
        <w:spacing w:before="0"/>
        <w:rPr>
          <w:rStyle w:val="Strong"/>
          <w:b w:val="0"/>
          <w:bCs w:val="0"/>
        </w:rPr>
      </w:pPr>
      <w:r w:rsidRPr="00381961">
        <w:rPr>
          <w:rStyle w:val="Strong"/>
          <w:b w:val="0"/>
          <w:bCs w:val="0"/>
        </w:rPr>
        <w:t>A workshop guide for developing a Kaupapa Māori Purpose Statement</w:t>
      </w:r>
    </w:p>
    <w:p w14:paraId="67545AF4" w14:textId="77777777" w:rsidR="00381961" w:rsidRDefault="00381961" w:rsidP="00381961">
      <w:pPr>
        <w:rPr>
          <w:rStyle w:val="Emphasis"/>
          <w:rFonts w:asciiTheme="majorHAnsi" w:hAnsiTheme="majorHAnsi" w:cstheme="majorHAnsi"/>
          <w:color w:val="000000" w:themeColor="text1"/>
          <w:szCs w:val="20"/>
        </w:rPr>
      </w:pPr>
    </w:p>
    <w:p w14:paraId="590C5C18" w14:textId="2B794B8E" w:rsidR="00381961" w:rsidRDefault="006D28DC" w:rsidP="00381961">
      <w:pPr>
        <w:rPr>
          <w:rStyle w:val="Emphasis"/>
          <w:rFonts w:asciiTheme="majorHAnsi" w:hAnsiTheme="majorHAnsi" w:cstheme="majorHAnsi"/>
          <w:color w:val="000000" w:themeColor="text1"/>
          <w:szCs w:val="20"/>
        </w:rPr>
      </w:pPr>
      <w:r w:rsidRPr="00A6078C">
        <w:rPr>
          <w:rStyle w:val="Emphasis"/>
          <w:rFonts w:asciiTheme="majorHAnsi" w:hAnsiTheme="majorHAnsi" w:cstheme="majorHAnsi"/>
          <w:color w:val="000000" w:themeColor="text1"/>
          <w:szCs w:val="20"/>
        </w:rPr>
        <w:t>A facilitated wānanga tool to co-develop the core purpose</w:t>
      </w:r>
      <w:r>
        <w:rPr>
          <w:rStyle w:val="Emphasis"/>
          <w:rFonts w:asciiTheme="majorHAnsi" w:hAnsiTheme="majorHAnsi" w:cstheme="majorHAnsi"/>
          <w:color w:val="000000" w:themeColor="text1"/>
          <w:szCs w:val="20"/>
        </w:rPr>
        <w:t xml:space="preserve"> of the </w:t>
      </w:r>
      <w:proofErr w:type="spellStart"/>
      <w:r>
        <w:rPr>
          <w:rStyle w:val="Emphasis"/>
          <w:rFonts w:asciiTheme="majorHAnsi" w:hAnsiTheme="majorHAnsi" w:cstheme="majorHAnsi"/>
          <w:color w:val="000000" w:themeColor="text1"/>
          <w:szCs w:val="20"/>
        </w:rPr>
        <w:t>kaupapa</w:t>
      </w:r>
      <w:proofErr w:type="spellEnd"/>
      <w:r w:rsidRPr="00A6078C">
        <w:rPr>
          <w:rStyle w:val="Emphasis"/>
          <w:rFonts w:asciiTheme="majorHAnsi" w:hAnsiTheme="majorHAnsi" w:cstheme="majorHAnsi"/>
          <w:color w:val="000000" w:themeColor="text1"/>
          <w:szCs w:val="20"/>
        </w:rPr>
        <w:t>.</w:t>
      </w:r>
    </w:p>
    <w:p w14:paraId="4A9581EE" w14:textId="77777777" w:rsidR="00362D24" w:rsidRDefault="006D28DC" w:rsidP="00381961">
      <w:r w:rsidRPr="00A6078C">
        <w:br/>
        <w:t xml:space="preserve">Guides whānau and </w:t>
      </w:r>
      <w:r>
        <w:t>tangata whenua</w:t>
      </w:r>
      <w:r w:rsidRPr="00A6078C">
        <w:t xml:space="preserve"> through a values-based process to express deeper intention of the kaupapa. This resource includes facilitation prompts, reflective questions, and group activities to support collective kōrero and alignment. </w:t>
      </w:r>
    </w:p>
    <w:p w14:paraId="60931A40" w14:textId="77777777" w:rsidR="00362D24" w:rsidRDefault="00362D24" w:rsidP="00381961"/>
    <w:p w14:paraId="1EEC789E" w14:textId="64A672E8" w:rsidR="006D28DC" w:rsidRPr="00A6078C" w:rsidRDefault="006D28DC" w:rsidP="00381961">
      <w:pPr>
        <w:rPr>
          <w:rFonts w:cstheme="minorHAnsi"/>
          <w:b/>
          <w:bCs/>
        </w:rPr>
      </w:pPr>
      <w:r w:rsidRPr="00A6078C">
        <w:t xml:space="preserve">Designed to surface shared aspirations, </w:t>
      </w:r>
      <w:r>
        <w:t>whanaungatanga</w:t>
      </w:r>
      <w:r w:rsidRPr="00A6078C">
        <w:t xml:space="preserve"> connections, and long-term visions of wellbeing, resilience, </w:t>
      </w:r>
      <w:r>
        <w:t xml:space="preserve">tino rangatiratanga </w:t>
      </w:r>
      <w:r w:rsidRPr="00A6078C">
        <w:t>and mana motuhake.</w:t>
      </w:r>
    </w:p>
    <w:p w14:paraId="2773CCE1" w14:textId="77777777" w:rsidR="00CC7E56" w:rsidRDefault="00CC7E56">
      <w:pPr>
        <w:rPr>
          <w:rStyle w:val="Strong"/>
          <w:rFonts w:asciiTheme="majorHAnsi" w:eastAsiaTheme="majorEastAsia" w:hAnsiTheme="majorHAnsi" w:cstheme="majorHAnsi"/>
          <w:color w:val="000000" w:themeColor="text1"/>
          <w:szCs w:val="20"/>
        </w:rPr>
      </w:pPr>
    </w:p>
    <w:p w14:paraId="1B2DF874" w14:textId="77777777" w:rsidR="00CC7E56" w:rsidRPr="000853FB" w:rsidRDefault="00CC7E56" w:rsidP="004914F1">
      <w:pPr>
        <w:pStyle w:val="Heading3"/>
        <w:spacing w:before="0"/>
        <w:rPr>
          <w:rStyle w:val="Strong"/>
          <w:rFonts w:asciiTheme="majorHAnsi" w:hAnsiTheme="majorHAnsi" w:cstheme="majorHAnsi"/>
          <w:szCs w:val="20"/>
        </w:rPr>
      </w:pPr>
      <w:r w:rsidRPr="000853FB">
        <w:rPr>
          <w:rStyle w:val="Strong"/>
          <w:rFonts w:asciiTheme="majorHAnsi" w:hAnsiTheme="majorHAnsi" w:cstheme="majorHAnsi"/>
          <w:szCs w:val="20"/>
        </w:rPr>
        <w:t>Defining the Purpose of the Adaptation Plan</w:t>
      </w:r>
    </w:p>
    <w:p w14:paraId="09DF3612" w14:textId="77777777" w:rsidR="00171399" w:rsidRDefault="00CC7E56" w:rsidP="00CC7E56">
      <w:pPr>
        <w:pStyle w:val="Normal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362D24">
        <w:rPr>
          <w:rFonts w:asciiTheme="minorHAnsi" w:hAnsiTheme="minorHAnsi" w:cstheme="minorHAnsi"/>
          <w:sz w:val="20"/>
          <w:szCs w:val="20"/>
        </w:rPr>
        <w:t xml:space="preserve">Each iwi, hapū, marae or whānau may have different drivers for developing a climate adaptation plan. The purpose should reflect what matters most to your people, place, and future. Below </w:t>
      </w:r>
      <w:r w:rsidR="00171399">
        <w:rPr>
          <w:rFonts w:asciiTheme="minorHAnsi" w:hAnsiTheme="minorHAnsi" w:cstheme="minorHAnsi"/>
          <w:sz w:val="20"/>
          <w:szCs w:val="20"/>
        </w:rPr>
        <w:t>are prompts on how to develop</w:t>
      </w:r>
      <w:r w:rsidRPr="00362D24">
        <w:rPr>
          <w:rFonts w:asciiTheme="minorHAnsi" w:hAnsiTheme="minorHAnsi" w:cstheme="minorHAnsi"/>
          <w:sz w:val="20"/>
          <w:szCs w:val="20"/>
        </w:rPr>
        <w:t xml:space="preserve"> a foundational purpose statement, followed by optional focus areas that can be added, adapted, or removed depending on priorities.</w:t>
      </w:r>
    </w:p>
    <w:p w14:paraId="4DA12E5D" w14:textId="16986F09" w:rsidR="00CC7E56" w:rsidRPr="00362D24" w:rsidRDefault="00CC7E56" w:rsidP="00CC7E56">
      <w:pPr>
        <w:pStyle w:val="Normal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362D24">
        <w:rPr>
          <w:rFonts w:asciiTheme="minorHAnsi" w:hAnsiTheme="minorHAnsi" w:cstheme="minorHAnsi"/>
          <w:sz w:val="20"/>
          <w:szCs w:val="20"/>
        </w:rPr>
        <w:t>Use the table</w:t>
      </w:r>
      <w:r w:rsidR="00171399">
        <w:rPr>
          <w:rFonts w:asciiTheme="minorHAnsi" w:hAnsiTheme="minorHAnsi" w:cstheme="minorHAnsi"/>
          <w:sz w:val="20"/>
          <w:szCs w:val="20"/>
        </w:rPr>
        <w:t>s</w:t>
      </w:r>
      <w:r w:rsidRPr="00362D24">
        <w:rPr>
          <w:rFonts w:asciiTheme="minorHAnsi" w:hAnsiTheme="minorHAnsi" w:cstheme="minorHAnsi"/>
          <w:sz w:val="20"/>
          <w:szCs w:val="20"/>
        </w:rPr>
        <w:t xml:space="preserve"> below to help your whānau, hapū, </w:t>
      </w:r>
      <w:r w:rsidR="00171399">
        <w:rPr>
          <w:rFonts w:asciiTheme="minorHAnsi" w:hAnsiTheme="minorHAnsi" w:cstheme="minorHAnsi"/>
          <w:sz w:val="20"/>
          <w:szCs w:val="20"/>
        </w:rPr>
        <w:t>and/</w:t>
      </w:r>
      <w:r w:rsidRPr="00362D24">
        <w:rPr>
          <w:rFonts w:asciiTheme="minorHAnsi" w:hAnsiTheme="minorHAnsi" w:cstheme="minorHAnsi"/>
          <w:sz w:val="20"/>
          <w:szCs w:val="20"/>
        </w:rPr>
        <w:t>or marae set a clear and culturally grounded direction for your adaptation plan.</w:t>
      </w:r>
    </w:p>
    <w:p w14:paraId="3B7C96C7" w14:textId="51E8791A" w:rsidR="00CC7E56" w:rsidRPr="00171399" w:rsidRDefault="00CC7E56" w:rsidP="00171399">
      <w:pPr>
        <w:pStyle w:val="Heading4"/>
        <w:rPr>
          <w:i w:val="0"/>
          <w:iCs w:val="0"/>
        </w:rPr>
      </w:pPr>
      <w:r w:rsidRPr="00171399">
        <w:rPr>
          <w:rStyle w:val="Strong"/>
          <w:rFonts w:asciiTheme="majorHAnsi" w:hAnsiTheme="majorHAnsi" w:cstheme="majorHAnsi"/>
          <w:i w:val="0"/>
          <w:iCs w:val="0"/>
          <w:szCs w:val="20"/>
        </w:rPr>
        <w:t xml:space="preserve">Step </w:t>
      </w:r>
      <w:r w:rsidR="006D28DC" w:rsidRPr="00171399">
        <w:rPr>
          <w:rStyle w:val="Strong"/>
          <w:rFonts w:asciiTheme="majorHAnsi" w:hAnsiTheme="majorHAnsi" w:cstheme="majorHAnsi"/>
          <w:i w:val="0"/>
          <w:iCs w:val="0"/>
          <w:szCs w:val="20"/>
        </w:rPr>
        <w:t>1</w:t>
      </w:r>
      <w:r w:rsidRPr="00171399">
        <w:rPr>
          <w:rStyle w:val="Strong"/>
          <w:rFonts w:asciiTheme="majorHAnsi" w:hAnsiTheme="majorHAnsi" w:cstheme="majorHAnsi"/>
          <w:i w:val="0"/>
          <w:iCs w:val="0"/>
          <w:szCs w:val="20"/>
        </w:rPr>
        <w:t>: Choose a Starting Line</w:t>
      </w:r>
    </w:p>
    <w:tbl>
      <w:tblPr>
        <w:tblStyle w:val="ListTable4-Accent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C7E56" w:rsidRPr="00171399" w14:paraId="682BB1B6" w14:textId="77777777" w:rsidTr="001D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B126D6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b w:val="0"/>
                <w:bCs w:val="0"/>
                <w:szCs w:val="20"/>
              </w:rPr>
            </w:pPr>
            <w:r w:rsidRPr="00171399">
              <w:rPr>
                <w:rStyle w:val="Strong"/>
                <w:rFonts w:eastAsiaTheme="majorEastAsia" w:cstheme="minorHAnsi"/>
                <w:szCs w:val="20"/>
              </w:rPr>
              <w:t>Start your purpose statement with one of the following:</w:t>
            </w:r>
          </w:p>
        </w:tc>
      </w:tr>
      <w:tr w:rsidR="00CC7E56" w:rsidRPr="00171399" w14:paraId="0C75D559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4D8861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support the development of a tangata whenua-led adaptation plan that is:</w:t>
            </w:r>
          </w:p>
        </w:tc>
      </w:tr>
      <w:tr w:rsidR="00CC7E56" w:rsidRPr="00171399" w14:paraId="00D96E9A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865E39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guide the creation of an adaptation plan by and for tangata whenua that is:</w:t>
            </w:r>
          </w:p>
        </w:tc>
      </w:tr>
      <w:tr w:rsidR="00CC7E56" w:rsidRPr="00171399" w14:paraId="09C76795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74BEC5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ensure our adaptation planning process is tangata whenua-led and:</w:t>
            </w:r>
          </w:p>
        </w:tc>
      </w:tr>
      <w:tr w:rsidR="00CC7E56" w:rsidRPr="00171399" w14:paraId="698C2E81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DD8034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develop a locally driven adaptation plan that is:</w:t>
            </w:r>
          </w:p>
        </w:tc>
      </w:tr>
      <w:tr w:rsidR="00CC7E56" w:rsidRPr="00171399" w14:paraId="7163FD7E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E10AB1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prepare for environmental change through a tangata whenua-led process that is:</w:t>
            </w:r>
          </w:p>
        </w:tc>
      </w:tr>
      <w:tr w:rsidR="00CC7E56" w:rsidRPr="00171399" w14:paraId="4ABD29EB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400B8C5" w14:textId="77777777" w:rsidR="00CC7E56" w:rsidRPr="00171399" w:rsidRDefault="00CC7E56" w:rsidP="00171399">
            <w:pPr>
              <w:spacing w:before="240" w:line="276" w:lineRule="auto"/>
              <w:rPr>
                <w:rFonts w:cstheme="minorHAnsi"/>
                <w:szCs w:val="20"/>
              </w:rPr>
            </w:pPr>
            <w:r w:rsidRPr="00171399">
              <w:rPr>
                <w:rFonts w:cstheme="minorHAnsi"/>
                <w:szCs w:val="20"/>
              </w:rPr>
              <w:t>To establish a tikanga-based plan for adaptation that is:</w:t>
            </w:r>
          </w:p>
        </w:tc>
      </w:tr>
    </w:tbl>
    <w:p w14:paraId="55FDF9BB" w14:textId="77777777" w:rsidR="00CC7E56" w:rsidRPr="00514D2A" w:rsidRDefault="00CC7E56" w:rsidP="00CC7E56">
      <w:pPr>
        <w:rPr>
          <w:rFonts w:asciiTheme="majorHAnsi" w:hAnsiTheme="majorHAnsi" w:cstheme="majorHAnsi"/>
          <w:szCs w:val="20"/>
        </w:rPr>
      </w:pPr>
    </w:p>
    <w:p w14:paraId="0E534B7A" w14:textId="77777777" w:rsidR="00F812DF" w:rsidRDefault="00F812DF" w:rsidP="00CC7E56">
      <w:pPr>
        <w:rPr>
          <w:rStyle w:val="Strong"/>
          <w:rFonts w:asciiTheme="majorHAnsi" w:eastAsiaTheme="majorEastAsia" w:hAnsiTheme="majorHAnsi" w:cstheme="majorHAnsi"/>
          <w:szCs w:val="20"/>
        </w:rPr>
      </w:pPr>
    </w:p>
    <w:p w14:paraId="0B626137" w14:textId="3A9C0407" w:rsidR="00CC7E56" w:rsidRPr="00F812DF" w:rsidRDefault="00CC7E56" w:rsidP="00F812DF">
      <w:pPr>
        <w:pStyle w:val="Heading4"/>
        <w:rPr>
          <w:i w:val="0"/>
          <w:iCs w:val="0"/>
        </w:rPr>
      </w:pPr>
      <w:r w:rsidRPr="00F812DF">
        <w:rPr>
          <w:rStyle w:val="Strong"/>
          <w:rFonts w:asciiTheme="majorHAnsi" w:hAnsiTheme="majorHAnsi" w:cstheme="majorHAnsi"/>
          <w:i w:val="0"/>
          <w:iCs w:val="0"/>
          <w:szCs w:val="20"/>
        </w:rPr>
        <w:t xml:space="preserve">Step </w:t>
      </w:r>
      <w:r w:rsidR="006D28DC" w:rsidRPr="00F812DF">
        <w:rPr>
          <w:rStyle w:val="Strong"/>
          <w:rFonts w:asciiTheme="majorHAnsi" w:hAnsiTheme="majorHAnsi" w:cstheme="majorHAnsi"/>
          <w:i w:val="0"/>
          <w:iCs w:val="0"/>
          <w:szCs w:val="20"/>
        </w:rPr>
        <w:t>2</w:t>
      </w:r>
      <w:r w:rsidRPr="00F812DF">
        <w:rPr>
          <w:rStyle w:val="Strong"/>
          <w:rFonts w:asciiTheme="majorHAnsi" w:hAnsiTheme="majorHAnsi" w:cstheme="majorHAnsi"/>
          <w:i w:val="0"/>
          <w:iCs w:val="0"/>
          <w:szCs w:val="20"/>
        </w:rPr>
        <w:t>: Select Add-Ons That Reflect Your Kaupapa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2540"/>
        <w:gridCol w:w="6792"/>
      </w:tblGrid>
      <w:tr w:rsidR="00CC7E56" w:rsidRPr="00F812DF" w14:paraId="2C019521" w14:textId="77777777" w:rsidTr="001D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382C22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b w:val="0"/>
                <w:bCs w:val="0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Add-on Options</w:t>
            </w:r>
          </w:p>
        </w:tc>
        <w:tc>
          <w:tcPr>
            <w:tcW w:w="0" w:type="auto"/>
            <w:hideMark/>
          </w:tcPr>
          <w:p w14:paraId="7E01F42E" w14:textId="77777777" w:rsidR="00CC7E56" w:rsidRPr="00F812DF" w:rsidRDefault="00CC7E56" w:rsidP="00F812DF">
            <w:pPr>
              <w:spacing w:after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Description</w:t>
            </w:r>
          </w:p>
        </w:tc>
      </w:tr>
      <w:tr w:rsidR="00CC7E56" w:rsidRPr="00F812DF" w14:paraId="2C2D9D01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2D5C0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proofErr w:type="spellStart"/>
            <w:r w:rsidRPr="00F812DF">
              <w:rPr>
                <w:rStyle w:val="Strong"/>
                <w:rFonts w:eastAsiaTheme="majorEastAsia" w:cstheme="minorHAnsi"/>
                <w:szCs w:val="20"/>
              </w:rPr>
              <w:t>Haukāinga</w:t>
            </w:r>
            <w:proofErr w:type="spellEnd"/>
            <w:r w:rsidRPr="00F812DF">
              <w:rPr>
                <w:rStyle w:val="Strong"/>
                <w:rFonts w:eastAsiaTheme="majorEastAsia" w:cstheme="minorHAnsi"/>
                <w:szCs w:val="20"/>
              </w:rPr>
              <w:t>-led</w:t>
            </w:r>
          </w:p>
        </w:tc>
        <w:tc>
          <w:tcPr>
            <w:tcW w:w="0" w:type="auto"/>
            <w:hideMark/>
          </w:tcPr>
          <w:p w14:paraId="748EFA84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Grounded in the leadership and lived experience of those who hold ahikā</w:t>
            </w:r>
          </w:p>
        </w:tc>
      </w:tr>
      <w:tr w:rsidR="00CC7E56" w:rsidRPr="00F812DF" w14:paraId="2E12CFFB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CFD5C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Mātauranga Māori-informed</w:t>
            </w:r>
          </w:p>
        </w:tc>
        <w:tc>
          <w:tcPr>
            <w:tcW w:w="0" w:type="auto"/>
            <w:hideMark/>
          </w:tcPr>
          <w:p w14:paraId="5AC0B5FF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Guided by ancestral knowledge, pūrākau, tohu o te taiao, and mātauranga ā-rohe</w:t>
            </w:r>
          </w:p>
        </w:tc>
      </w:tr>
      <w:tr w:rsidR="00CC7E56" w:rsidRPr="00F812DF" w14:paraId="0DCA5EEE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C18995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Tikanga-driven</w:t>
            </w:r>
          </w:p>
        </w:tc>
        <w:tc>
          <w:tcPr>
            <w:tcW w:w="0" w:type="auto"/>
            <w:hideMark/>
          </w:tcPr>
          <w:p w14:paraId="75C7D1D9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Shaped by local tikanga and kawa that guide appropriate action</w:t>
            </w:r>
          </w:p>
        </w:tc>
      </w:tr>
      <w:tr w:rsidR="00CC7E56" w:rsidRPr="00F812DF" w14:paraId="649F9A12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895EC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Hapū-mandated</w:t>
            </w:r>
          </w:p>
        </w:tc>
        <w:tc>
          <w:tcPr>
            <w:tcW w:w="0" w:type="auto"/>
            <w:hideMark/>
          </w:tcPr>
          <w:p w14:paraId="098C40D3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Developed with the direction and support of hapū governance</w:t>
            </w:r>
          </w:p>
        </w:tc>
      </w:tr>
      <w:tr w:rsidR="00CC7E56" w:rsidRPr="00F812DF" w14:paraId="524113BD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E67FF3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lastRenderedPageBreak/>
              <w:t>Whānau-centred</w:t>
            </w:r>
          </w:p>
        </w:tc>
        <w:tc>
          <w:tcPr>
            <w:tcW w:w="0" w:type="auto"/>
            <w:hideMark/>
          </w:tcPr>
          <w:p w14:paraId="7AC77E31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Focused on the wellbeing and resilience of whānau and papakāinga</w:t>
            </w:r>
          </w:p>
        </w:tc>
      </w:tr>
      <w:tr w:rsidR="00CC7E56" w:rsidRPr="00F812DF" w14:paraId="306C81A0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F0FE8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Wānanga-based</w:t>
            </w:r>
          </w:p>
        </w:tc>
        <w:tc>
          <w:tcPr>
            <w:tcW w:w="0" w:type="auto"/>
            <w:hideMark/>
          </w:tcPr>
          <w:p w14:paraId="6231ED61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Developed through collective kōrero, reflection, and shared decision-making</w:t>
            </w:r>
          </w:p>
        </w:tc>
      </w:tr>
      <w:tr w:rsidR="00CC7E56" w:rsidRPr="00F812DF" w14:paraId="31C676FF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5935E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Tohu-responsive</w:t>
            </w:r>
          </w:p>
        </w:tc>
        <w:tc>
          <w:tcPr>
            <w:tcW w:w="0" w:type="auto"/>
            <w:hideMark/>
          </w:tcPr>
          <w:p w14:paraId="49E3587C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Informed by maramataka and local environmental indicators</w:t>
            </w:r>
          </w:p>
        </w:tc>
      </w:tr>
      <w:tr w:rsidR="00CC7E56" w:rsidRPr="00F812DF" w14:paraId="059EF1A2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FE855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Place-based</w:t>
            </w:r>
          </w:p>
        </w:tc>
        <w:tc>
          <w:tcPr>
            <w:tcW w:w="0" w:type="auto"/>
            <w:hideMark/>
          </w:tcPr>
          <w:p w14:paraId="3410DA99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Grounded in the specific histories, ecologies, and values of the rohe</w:t>
            </w:r>
          </w:p>
        </w:tc>
      </w:tr>
      <w:tr w:rsidR="00CC7E56" w:rsidRPr="00F812DF" w14:paraId="7227E59E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8835B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Future-focused</w:t>
            </w:r>
          </w:p>
        </w:tc>
        <w:tc>
          <w:tcPr>
            <w:tcW w:w="0" w:type="auto"/>
            <w:hideMark/>
          </w:tcPr>
          <w:p w14:paraId="04C41A0C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Designed to uphold the wellbeing of future generations</w:t>
            </w:r>
          </w:p>
        </w:tc>
      </w:tr>
      <w:tr w:rsidR="00CC7E56" w:rsidRPr="00F812DF" w14:paraId="07B1F3AE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0E57E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Restorative</w:t>
            </w:r>
          </w:p>
        </w:tc>
        <w:tc>
          <w:tcPr>
            <w:tcW w:w="0" w:type="auto"/>
            <w:hideMark/>
          </w:tcPr>
          <w:p w14:paraId="5A90FFCB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Aims to restore relationships between people and taiao</w:t>
            </w:r>
          </w:p>
        </w:tc>
      </w:tr>
      <w:tr w:rsidR="00CC7E56" w:rsidRPr="00F812DF" w14:paraId="1E1C548B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DE0106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Taonga-protective</w:t>
            </w:r>
          </w:p>
        </w:tc>
        <w:tc>
          <w:tcPr>
            <w:tcW w:w="0" w:type="auto"/>
            <w:hideMark/>
          </w:tcPr>
          <w:p w14:paraId="6FDA2076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Focused on safeguarding wāhi tapu, taonga tuku iho, and heritage sites</w:t>
            </w:r>
          </w:p>
        </w:tc>
      </w:tr>
      <w:tr w:rsidR="00CC7E56" w:rsidRPr="00F812DF" w14:paraId="7F19B5C0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40DC5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Collectively owned</w:t>
            </w:r>
          </w:p>
        </w:tc>
        <w:tc>
          <w:tcPr>
            <w:tcW w:w="0" w:type="auto"/>
            <w:hideMark/>
          </w:tcPr>
          <w:p w14:paraId="2AF11E07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Created and carried by the wider collective, not individuals</w:t>
            </w:r>
          </w:p>
        </w:tc>
      </w:tr>
      <w:tr w:rsidR="00CC7E56" w:rsidRPr="00F812DF" w14:paraId="221A2C48" w14:textId="77777777" w:rsidTr="001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E8455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Culturally safe</w:t>
            </w:r>
          </w:p>
        </w:tc>
        <w:tc>
          <w:tcPr>
            <w:tcW w:w="0" w:type="auto"/>
            <w:hideMark/>
          </w:tcPr>
          <w:p w14:paraId="7D0774D6" w14:textId="77777777" w:rsidR="00CC7E56" w:rsidRPr="00F812DF" w:rsidRDefault="00CC7E56" w:rsidP="00F812DF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Ensures mātauranga and tikanga are respected and protected</w:t>
            </w:r>
          </w:p>
        </w:tc>
      </w:tr>
      <w:tr w:rsidR="00CC7E56" w:rsidRPr="00F812DF" w14:paraId="7C63C2F3" w14:textId="77777777" w:rsidTr="001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1876B" w14:textId="77777777" w:rsidR="00CC7E56" w:rsidRPr="00F812DF" w:rsidRDefault="00CC7E56" w:rsidP="00F812DF">
            <w:pPr>
              <w:spacing w:after="240" w:line="276" w:lineRule="auto"/>
              <w:rPr>
                <w:rFonts w:cstheme="minorHAnsi"/>
                <w:szCs w:val="20"/>
              </w:rPr>
            </w:pPr>
            <w:r w:rsidRPr="00F812DF">
              <w:rPr>
                <w:rStyle w:val="Strong"/>
                <w:rFonts w:eastAsiaTheme="majorEastAsia" w:cstheme="minorHAnsi"/>
                <w:szCs w:val="20"/>
              </w:rPr>
              <w:t>Adaptive and evolving</w:t>
            </w:r>
          </w:p>
        </w:tc>
        <w:tc>
          <w:tcPr>
            <w:tcW w:w="0" w:type="auto"/>
            <w:hideMark/>
          </w:tcPr>
          <w:p w14:paraId="5E54F5BA" w14:textId="77777777" w:rsidR="00CC7E56" w:rsidRPr="00F812DF" w:rsidRDefault="00CC7E56" w:rsidP="00F812DF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12DF">
              <w:rPr>
                <w:rFonts w:cstheme="minorHAnsi"/>
                <w:szCs w:val="20"/>
              </w:rPr>
              <w:t>Built to be flexible and responsive to future change</w:t>
            </w:r>
          </w:p>
        </w:tc>
      </w:tr>
    </w:tbl>
    <w:p w14:paraId="1A3AD113" w14:textId="77777777" w:rsidR="00CC7E56" w:rsidRPr="00514D2A" w:rsidRDefault="00CC7E56" w:rsidP="00CC7E56">
      <w:pPr>
        <w:rPr>
          <w:rFonts w:asciiTheme="majorHAnsi" w:hAnsiTheme="majorHAnsi" w:cstheme="majorHAnsi"/>
          <w:b/>
          <w:bCs/>
          <w:noProof/>
          <w:szCs w:val="20"/>
          <w:u w:val="single"/>
        </w:rPr>
      </w:pPr>
    </w:p>
    <w:p w14:paraId="5D7395D9" w14:textId="7A3606AA" w:rsidR="00CC7E56" w:rsidRPr="00490BCC" w:rsidRDefault="00CC7E56" w:rsidP="00490BCC">
      <w:pPr>
        <w:pStyle w:val="Heading4"/>
        <w:rPr>
          <w:i w:val="0"/>
          <w:iCs w:val="0"/>
        </w:rPr>
      </w:pPr>
      <w:r w:rsidRPr="00490BCC">
        <w:rPr>
          <w:rStyle w:val="Strong"/>
          <w:rFonts w:asciiTheme="majorHAnsi" w:hAnsiTheme="majorHAnsi" w:cstheme="majorHAnsi"/>
          <w:i w:val="0"/>
          <w:iCs w:val="0"/>
          <w:szCs w:val="20"/>
        </w:rPr>
        <w:t xml:space="preserve">Step </w:t>
      </w:r>
      <w:r w:rsidR="006D28DC" w:rsidRPr="00490BCC">
        <w:rPr>
          <w:rStyle w:val="Strong"/>
          <w:rFonts w:asciiTheme="majorHAnsi" w:hAnsiTheme="majorHAnsi" w:cstheme="majorHAnsi"/>
          <w:i w:val="0"/>
          <w:iCs w:val="0"/>
          <w:szCs w:val="20"/>
        </w:rPr>
        <w:t>3</w:t>
      </w:r>
      <w:r w:rsidRPr="00490BCC">
        <w:rPr>
          <w:rStyle w:val="Strong"/>
          <w:rFonts w:asciiTheme="majorHAnsi" w:hAnsiTheme="majorHAnsi" w:cstheme="majorHAnsi"/>
          <w:i w:val="0"/>
          <w:iCs w:val="0"/>
          <w:szCs w:val="20"/>
        </w:rPr>
        <w:t>: Draft Your Purpose Statement</w:t>
      </w:r>
    </w:p>
    <w:p w14:paraId="36489EC4" w14:textId="77777777" w:rsidR="00CC7E56" w:rsidRPr="00514D2A" w:rsidRDefault="00CC7E56" w:rsidP="00CC7E56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514D2A">
        <w:rPr>
          <w:rFonts w:asciiTheme="majorHAnsi" w:hAnsiTheme="majorHAnsi" w:cstheme="majorHAnsi"/>
          <w:sz w:val="20"/>
          <w:szCs w:val="20"/>
        </w:rPr>
        <w:t>Use the template below to write a clear and values-aligned purpose statement for your adaptation plan. This will help anchor your mahi throughout the process.</w:t>
      </w:r>
    </w:p>
    <w:p w14:paraId="1AFFA57D" w14:textId="77777777" w:rsidR="00CC7E56" w:rsidRPr="00514D2A" w:rsidRDefault="00CC7E56" w:rsidP="00CC7E56">
      <w:pPr>
        <w:pStyle w:val="NormalWeb"/>
        <w:ind w:left="720"/>
        <w:rPr>
          <w:rFonts w:asciiTheme="majorHAnsi" w:hAnsiTheme="majorHAnsi" w:cstheme="majorHAnsi"/>
          <w:sz w:val="20"/>
          <w:szCs w:val="20"/>
        </w:rPr>
      </w:pPr>
      <w:r w:rsidRPr="00514D2A">
        <w:rPr>
          <w:rFonts w:ascii="Apple Color Emoji" w:hAnsi="Apple Color Emoji" w:cs="Apple Color Emoji"/>
          <w:sz w:val="20"/>
          <w:szCs w:val="20"/>
        </w:rPr>
        <w:t>✍️</w:t>
      </w:r>
      <w:r w:rsidRPr="00514D2A">
        <w:rPr>
          <w:rFonts w:asciiTheme="majorHAnsi" w:hAnsiTheme="majorHAnsi" w:cstheme="majorHAnsi"/>
          <w:sz w:val="20"/>
          <w:szCs w:val="20"/>
        </w:rPr>
        <w:t xml:space="preserve"> </w:t>
      </w:r>
      <w:r w:rsidRPr="00514D2A">
        <w:rPr>
          <w:rStyle w:val="Emphasis"/>
          <w:rFonts w:asciiTheme="majorHAnsi" w:eastAsiaTheme="majorEastAsia" w:hAnsiTheme="majorHAnsi" w:cstheme="majorHAnsi"/>
          <w:sz w:val="20"/>
          <w:szCs w:val="20"/>
        </w:rPr>
        <w:t>Draft a purpose statement. Choose a starting line that fits your kaupapa, then select 2–4 add-ons that reflect your priorities. Combine them into a single sentence, or build more than one version to review together.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7E56" w:rsidRPr="00514D2A" w14:paraId="2CD01E1C" w14:textId="77777777" w:rsidTr="007E656E">
        <w:trPr>
          <w:trHeight w:val="529"/>
        </w:trPr>
        <w:tc>
          <w:tcPr>
            <w:tcW w:w="9010" w:type="dxa"/>
          </w:tcPr>
          <w:p w14:paraId="5C7C6F8B" w14:textId="77777777" w:rsidR="00CC7E56" w:rsidRPr="000853FB" w:rsidRDefault="00CC7E56" w:rsidP="007E656E">
            <w:r w:rsidRPr="000853FB">
              <w:rPr>
                <w:rStyle w:val="Strong"/>
                <w:rFonts w:asciiTheme="majorHAnsi" w:eastAsiaTheme="majorEastAsia" w:hAnsiTheme="majorHAnsi" w:cstheme="majorHAnsi"/>
                <w:szCs w:val="20"/>
              </w:rPr>
              <w:t>Write Your Purpose Statement Here:</w:t>
            </w:r>
          </w:p>
        </w:tc>
      </w:tr>
      <w:tr w:rsidR="00CC7E56" w:rsidRPr="00514D2A" w14:paraId="4BA2C024" w14:textId="77777777" w:rsidTr="007E656E">
        <w:trPr>
          <w:trHeight w:val="1551"/>
        </w:trPr>
        <w:tc>
          <w:tcPr>
            <w:tcW w:w="9010" w:type="dxa"/>
          </w:tcPr>
          <w:p w14:paraId="471FE041" w14:textId="77777777" w:rsidR="00CC7E56" w:rsidRPr="00514D2A" w:rsidRDefault="00CC7E56" w:rsidP="007E656E">
            <w:r w:rsidRPr="00514D2A">
              <w:rPr>
                <w:rStyle w:val="Strong"/>
                <w:rFonts w:asciiTheme="majorHAnsi" w:eastAsiaTheme="majorEastAsia" w:hAnsiTheme="majorHAnsi" w:cstheme="majorHAnsi"/>
                <w:szCs w:val="20"/>
              </w:rPr>
              <w:t xml:space="preserve">To support the development of a tangata whenua-led adaptation plan that is; </w:t>
            </w:r>
            <w:r w:rsidRPr="00514D2A">
              <w:br/>
            </w:r>
            <w:r w:rsidRPr="00514D2A">
              <w:rPr>
                <w:rStyle w:val="Emphasis"/>
                <w:rFonts w:asciiTheme="majorHAnsi" w:eastAsiaTheme="majorEastAsia" w:hAnsiTheme="majorHAnsi" w:cstheme="majorHAnsi"/>
                <w:color w:val="D0CECE" w:themeColor="background2" w:themeShade="E6"/>
                <w:szCs w:val="20"/>
              </w:rPr>
              <w:t>(Write your selected add-ons or describe your approach below)</w:t>
            </w:r>
          </w:p>
          <w:p w14:paraId="2CEAED6A" w14:textId="77777777" w:rsidR="00CC7E56" w:rsidRPr="00514D2A" w:rsidRDefault="00CC7E56" w:rsidP="007E656E">
            <w:pPr>
              <w:pStyle w:val="Heading3"/>
              <w:rPr>
                <w:rStyle w:val="Strong"/>
                <w:rFonts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AB9F663" w14:textId="77777777" w:rsidR="00CC7E56" w:rsidRDefault="00CC7E56"/>
    <w:sectPr w:rsidR="00CC7E56" w:rsidSect="00DD4324">
      <w:footerReference w:type="default" r:id="rId9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D0E2" w14:textId="77777777" w:rsidR="004E5FA9" w:rsidRDefault="004E5FA9" w:rsidP="00F7561C">
      <w:r>
        <w:separator/>
      </w:r>
    </w:p>
  </w:endnote>
  <w:endnote w:type="continuationSeparator" w:id="0">
    <w:p w14:paraId="78B63392" w14:textId="77777777" w:rsidR="004E5FA9" w:rsidRDefault="004E5FA9" w:rsidP="00F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2440" w14:textId="77777777" w:rsidR="00F7561C" w:rsidRPr="00247125" w:rsidRDefault="00F7561C" w:rsidP="00F7561C">
    <w:pPr>
      <w:pStyle w:val="Footer"/>
      <w:tabs>
        <w:tab w:val="right" w:pos="1394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818DE99" wp14:editId="235C34FC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125">
      <w:rPr>
        <w:b/>
        <w:bCs/>
      </w:rPr>
      <w:t>Kete 1: Te Ahunga - Initiating the Kaupapa, Set the Direction and Purpose</w:t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4BB7F8C" w14:textId="68FA5474" w:rsidR="00F7561C" w:rsidRDefault="00F7561C" w:rsidP="00F7561C">
    <w:pPr>
      <w:pStyle w:val="Footer"/>
    </w:pPr>
    <w:r>
      <w:t xml:space="preserve">5: </w:t>
    </w:r>
    <w:r w:rsidRPr="00F7561C">
      <w:t>A workshop guide for developing a Kaupapa Māori Purpose Statement</w:t>
    </w:r>
  </w:p>
  <w:p w14:paraId="7AAC28D0" w14:textId="77777777" w:rsidR="00F7561C" w:rsidRDefault="00F7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516C" w14:textId="77777777" w:rsidR="004E5FA9" w:rsidRDefault="004E5FA9" w:rsidP="00F7561C">
      <w:r>
        <w:separator/>
      </w:r>
    </w:p>
  </w:footnote>
  <w:footnote w:type="continuationSeparator" w:id="0">
    <w:p w14:paraId="7E67D216" w14:textId="77777777" w:rsidR="004E5FA9" w:rsidRDefault="004E5FA9" w:rsidP="00F7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63"/>
    <w:rsid w:val="000445EE"/>
    <w:rsid w:val="00082235"/>
    <w:rsid w:val="000A29FE"/>
    <w:rsid w:val="00171399"/>
    <w:rsid w:val="0019430D"/>
    <w:rsid w:val="001C7C7F"/>
    <w:rsid w:val="001D4416"/>
    <w:rsid w:val="003379F6"/>
    <w:rsid w:val="00343EB3"/>
    <w:rsid w:val="00362D24"/>
    <w:rsid w:val="00381961"/>
    <w:rsid w:val="003C15D6"/>
    <w:rsid w:val="00404A30"/>
    <w:rsid w:val="00450E9A"/>
    <w:rsid w:val="00490BCC"/>
    <w:rsid w:val="004914F1"/>
    <w:rsid w:val="004C4BC7"/>
    <w:rsid w:val="004C6BF6"/>
    <w:rsid w:val="004E5FA9"/>
    <w:rsid w:val="00510998"/>
    <w:rsid w:val="005403F9"/>
    <w:rsid w:val="00570C7D"/>
    <w:rsid w:val="006B1518"/>
    <w:rsid w:val="006D28DC"/>
    <w:rsid w:val="00704188"/>
    <w:rsid w:val="00745BA8"/>
    <w:rsid w:val="00797EA6"/>
    <w:rsid w:val="00832B0E"/>
    <w:rsid w:val="00847C45"/>
    <w:rsid w:val="008A70EC"/>
    <w:rsid w:val="008B6E09"/>
    <w:rsid w:val="008E1FE7"/>
    <w:rsid w:val="009322B3"/>
    <w:rsid w:val="009B1DB5"/>
    <w:rsid w:val="00A3023B"/>
    <w:rsid w:val="00A423BD"/>
    <w:rsid w:val="00A5447D"/>
    <w:rsid w:val="00A80DCE"/>
    <w:rsid w:val="00B142FD"/>
    <w:rsid w:val="00B23045"/>
    <w:rsid w:val="00B74960"/>
    <w:rsid w:val="00BA3E59"/>
    <w:rsid w:val="00BB38B3"/>
    <w:rsid w:val="00C5064C"/>
    <w:rsid w:val="00CA3DC7"/>
    <w:rsid w:val="00CC1E11"/>
    <w:rsid w:val="00CC7E56"/>
    <w:rsid w:val="00DD4324"/>
    <w:rsid w:val="00E23E29"/>
    <w:rsid w:val="00E6635D"/>
    <w:rsid w:val="00E81E73"/>
    <w:rsid w:val="00E82B45"/>
    <w:rsid w:val="00F7561C"/>
    <w:rsid w:val="00F812DF"/>
    <w:rsid w:val="00F86963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8A430"/>
  <w15:chartTrackingRefBased/>
  <w15:docId w15:val="{84427D80-E663-884B-B199-DF8D2AD7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696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96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96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96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96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96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963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F86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963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F869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6963"/>
    <w:rPr>
      <w:b/>
      <w:bCs/>
    </w:rPr>
  </w:style>
  <w:style w:type="table" w:styleId="TableGrid">
    <w:name w:val="Table Grid"/>
    <w:basedOn w:val="TableNormal"/>
    <w:uiPriority w:val="59"/>
    <w:rsid w:val="00CC7E56"/>
    <w:rPr>
      <w:rFonts w:ascii="Calibri" w:eastAsia="Calibri" w:hAnsi="Calibri" w:cs="Calibri"/>
      <w:kern w:val="0"/>
      <w:sz w:val="22"/>
      <w:szCs w:val="22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7E56"/>
    <w:pPr>
      <w:spacing w:before="100" w:beforeAutospacing="1" w:after="100" w:afterAutospacing="1"/>
    </w:pPr>
    <w:rPr>
      <w:rFonts w:ascii="Aptos" w:eastAsia="Times New Roman" w:hAnsi="Aptos" w:cs="Aptos"/>
      <w:kern w:val="0"/>
      <w:sz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CC7E56"/>
    <w:rPr>
      <w:i/>
      <w:iCs/>
    </w:rPr>
  </w:style>
  <w:style w:type="table" w:styleId="ListTable4-Accent6">
    <w:name w:val="List Table 4 Accent 6"/>
    <w:basedOn w:val="TableNormal"/>
    <w:uiPriority w:val="49"/>
    <w:rsid w:val="001D441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1D441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5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1C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F75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1C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5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1C834-D88E-41A3-A5D5-4610F4B03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9376-BEEC-47D4-B3EE-DBD2E7A8D175}">
  <ds:schemaRefs>
    <ds:schemaRef ds:uri="0d213de9-3189-4cd4-8d7a-42ae0b27451a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937b4850-4565-4132-89e8-69a396ed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B9A82C-0B5A-463E-AD4B-5879636B0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2859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Tapuwae Cultural Footprints LTD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13</cp:revision>
  <dcterms:created xsi:type="dcterms:W3CDTF">2025-07-17T08:59:00Z</dcterms:created>
  <dcterms:modified xsi:type="dcterms:W3CDTF">2025-10-28T22:57:00Z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89400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